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7" w:rsidRDefault="003071C7" w:rsidP="003071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课程大纲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《透视企业所得税汇算清缴填报实务与风险应对》（一天）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第一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章 汇算清缴前必须关注的重要事项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1、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税局合并后，今年的汇算清缴又有何“与众不同”，风险日益加大，如何做到让企业练就“金钟罩”提高税务风险防御能力！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2、2018年汇算清缴表单</w:t>
      </w:r>
      <w:r w:rsidRPr="00B365FF">
        <w:rPr>
          <w:rFonts w:ascii="仿宋" w:eastAsia="仿宋" w:hAnsi="仿宋" w:cs="黑体"/>
          <w:bCs/>
          <w:sz w:val="28"/>
          <w:szCs w:val="28"/>
        </w:rPr>
        <w:t>有哪些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变化？相对产生了什么新风险？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3、查帐征收与核定征收对于汇缴应该注意的事项</w:t>
      </w:r>
      <w:r w:rsidRPr="00B365FF">
        <w:rPr>
          <w:rFonts w:ascii="仿宋" w:eastAsia="仿宋" w:hAnsi="仿宋" w:cs="黑体"/>
          <w:bCs/>
          <w:sz w:val="28"/>
          <w:szCs w:val="28"/>
        </w:rPr>
        <w:t xml:space="preserve"> 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4、汇算清缴必须清楚的三个时间点你知道吗？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5、税款解缴过程中的问题处理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6、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纳税申报表的哪些信息披露瑕疵会引起税务机关的警觉？如何应对？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7、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汇算清缴必须要关注哪些纳税评估的重点指标，以远离企业涉税风险？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8、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2018年度的汇算清缴总局的重点监控指标有哪些？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9、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注意前后年度申报表的衔接事项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第二章 新政策下所得税纳税申报实务与纳税调整</w:t>
      </w:r>
    </w:p>
    <w:p w:rsidR="003071C7" w:rsidRPr="00B365FF" w:rsidRDefault="003071C7" w:rsidP="003071C7">
      <w:pPr>
        <w:numPr>
          <w:ilvl w:val="0"/>
          <w:numId w:val="1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小微企业享受的“门槛条件”核心注意事项？达不到条件，如何创造条件享受优惠？</w:t>
      </w:r>
      <w:bookmarkStart w:id="0" w:name="_GoBack"/>
      <w:bookmarkEnd w:id="0"/>
      <w:r w:rsidRPr="00B365FF">
        <w:rPr>
          <w:rFonts w:ascii="仿宋" w:eastAsia="仿宋" w:hAnsi="仿宋" w:cs="黑体" w:hint="eastAsia"/>
          <w:bCs/>
          <w:sz w:val="28"/>
          <w:szCs w:val="28"/>
        </w:rPr>
        <w:t>新政下的小微企业填表重点变化要点？</w:t>
      </w:r>
    </w:p>
    <w:p w:rsidR="003071C7" w:rsidRPr="00B365FF" w:rsidRDefault="003071C7" w:rsidP="003071C7">
      <w:pPr>
        <w:numPr>
          <w:ilvl w:val="0"/>
          <w:numId w:val="1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企业所得税年度纳税申报基础信息表填报变化与要点</w:t>
      </w:r>
    </w:p>
    <w:p w:rsidR="003071C7" w:rsidRPr="00B365FF" w:rsidRDefault="003071C7" w:rsidP="003071C7">
      <w:pPr>
        <w:numPr>
          <w:ilvl w:val="0"/>
          <w:numId w:val="1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主表填报思路与注意事项</w:t>
      </w:r>
    </w:p>
    <w:p w:rsidR="003071C7" w:rsidRPr="00B365FF" w:rsidRDefault="003071C7" w:rsidP="003071C7">
      <w:pPr>
        <w:pStyle w:val="a4"/>
        <w:numPr>
          <w:ilvl w:val="0"/>
          <w:numId w:val="1"/>
        </w:numPr>
        <w:ind w:firstLineChars="0"/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收入类事项确认及税会差异分析</w:t>
      </w:r>
    </w:p>
    <w:p w:rsidR="003071C7" w:rsidRPr="00B365FF" w:rsidRDefault="003071C7" w:rsidP="003071C7">
      <w:pPr>
        <w:numPr>
          <w:ilvl w:val="0"/>
          <w:numId w:val="2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lastRenderedPageBreak/>
        <w:t>申报数据与财务报表数据逻辑校验风险的应对策略</w:t>
      </w:r>
    </w:p>
    <w:p w:rsidR="003071C7" w:rsidRPr="00B365FF" w:rsidRDefault="003071C7" w:rsidP="003071C7">
      <w:pPr>
        <w:numPr>
          <w:ilvl w:val="0"/>
          <w:numId w:val="2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不满足收入确认条件的商品销售业务处理方法</w:t>
      </w:r>
    </w:p>
    <w:p w:rsidR="003071C7" w:rsidRPr="00B365FF" w:rsidRDefault="003071C7" w:rsidP="003071C7">
      <w:pPr>
        <w:numPr>
          <w:ilvl w:val="0"/>
          <w:numId w:val="2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未按权责发生制原则确定收入的填报案例</w:t>
      </w:r>
    </w:p>
    <w:p w:rsidR="003071C7" w:rsidRPr="00B365FF" w:rsidRDefault="003071C7" w:rsidP="003071C7">
      <w:pPr>
        <w:numPr>
          <w:ilvl w:val="0"/>
          <w:numId w:val="2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视同销售调整的到底是什么？</w:t>
      </w:r>
    </w:p>
    <w:p w:rsidR="003071C7" w:rsidRPr="00B365FF" w:rsidRDefault="003071C7" w:rsidP="003071C7">
      <w:pPr>
        <w:numPr>
          <w:ilvl w:val="0"/>
          <w:numId w:val="2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案例讲解销售折扣</w:t>
      </w:r>
      <w:r w:rsidRPr="00B365FF">
        <w:rPr>
          <w:rFonts w:ascii="仿宋" w:eastAsia="仿宋" w:hAnsi="仿宋" w:cs="黑体"/>
          <w:bCs/>
          <w:sz w:val="28"/>
          <w:szCs w:val="28"/>
        </w:rPr>
        <w:t>与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现金折扣早报表的填写</w:t>
      </w:r>
    </w:p>
    <w:p w:rsidR="003071C7" w:rsidRPr="00B365FF" w:rsidRDefault="003071C7" w:rsidP="003071C7">
      <w:pPr>
        <w:numPr>
          <w:ilvl w:val="0"/>
          <w:numId w:val="2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不征税收入的选择与纳税调整应注意的问题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6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、扣除类事项确认及税会差异分析</w:t>
      </w:r>
    </w:p>
    <w:p w:rsidR="003071C7" w:rsidRPr="00B365FF" w:rsidRDefault="003071C7" w:rsidP="003071C7">
      <w:pPr>
        <w:numPr>
          <w:ilvl w:val="0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职工薪酬在填写纳税申报表时中应注意的问题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什么才是合理的工资薪金？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如何区分职工薪酬与劳务报酬？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让财务人员困惑的工资薪金和福利费项目如何划分？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职工薪酬税前扣除的期限与范围如何界定？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职工薪酬填报与纳税调整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股权激励填报与调整案例</w:t>
      </w:r>
    </w:p>
    <w:p w:rsidR="003071C7" w:rsidRPr="00B365FF" w:rsidRDefault="003071C7" w:rsidP="003071C7">
      <w:pPr>
        <w:numPr>
          <w:ilvl w:val="3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利息支出填报与调整案例分析</w:t>
      </w:r>
    </w:p>
    <w:p w:rsidR="003071C7" w:rsidRPr="00B365FF" w:rsidRDefault="003071C7" w:rsidP="003071C7">
      <w:pPr>
        <w:numPr>
          <w:ilvl w:val="3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税收滞纳金、罚款的填报与调整案例</w:t>
      </w:r>
    </w:p>
    <w:p w:rsidR="003071C7" w:rsidRPr="00B365FF" w:rsidRDefault="003071C7" w:rsidP="003071C7">
      <w:pPr>
        <w:numPr>
          <w:ilvl w:val="3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佣金和手续费财税处理实务</w:t>
      </w:r>
    </w:p>
    <w:p w:rsidR="003071C7" w:rsidRPr="00B365FF" w:rsidRDefault="003071C7" w:rsidP="003071C7">
      <w:pPr>
        <w:numPr>
          <w:ilvl w:val="3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取得与收入无关支出的处理</w:t>
      </w:r>
    </w:p>
    <w:p w:rsidR="003071C7" w:rsidRPr="00B365FF" w:rsidRDefault="003071C7" w:rsidP="003071C7">
      <w:pPr>
        <w:numPr>
          <w:ilvl w:val="3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有扣除限额标准的费用支出项目纳税调整需注意的细节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业务招待费的填报与调整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广告宣传费填报实务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lastRenderedPageBreak/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职工教育经费填报与调整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-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公益性捐赠的填报实务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7、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资产类、特殊事项调整项目及其他项目事项填报技巧解析</w:t>
      </w:r>
    </w:p>
    <w:p w:rsidR="003071C7" w:rsidRPr="00B365FF" w:rsidRDefault="003071C7" w:rsidP="003071C7">
      <w:pPr>
        <w:numPr>
          <w:ilvl w:val="0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500万固定资产一次性扣除的填报与调整案例分析</w:t>
      </w:r>
    </w:p>
    <w:p w:rsidR="003071C7" w:rsidRPr="00B365FF" w:rsidRDefault="003071C7" w:rsidP="003071C7">
      <w:pPr>
        <w:numPr>
          <w:ilvl w:val="0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资产减值准备金填报案例</w:t>
      </w:r>
    </w:p>
    <w:p w:rsidR="003071C7" w:rsidRPr="00B365FF" w:rsidRDefault="003071C7" w:rsidP="003071C7">
      <w:pPr>
        <w:numPr>
          <w:ilvl w:val="0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资产损失税前扣除税务处理核心要点</w:t>
      </w:r>
    </w:p>
    <w:p w:rsidR="003071C7" w:rsidRPr="00B365FF" w:rsidRDefault="003071C7" w:rsidP="003071C7">
      <w:pPr>
        <w:numPr>
          <w:ilvl w:val="0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固定资产处置填报案例</w:t>
      </w:r>
    </w:p>
    <w:p w:rsidR="003071C7" w:rsidRPr="00B365FF" w:rsidRDefault="003071C7" w:rsidP="003071C7">
      <w:pPr>
        <w:numPr>
          <w:ilvl w:val="0"/>
          <w:numId w:val="3"/>
        </w:num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 w:hint="eastAsia"/>
          <w:bCs/>
          <w:sz w:val="28"/>
          <w:szCs w:val="28"/>
        </w:rPr>
        <w:t>应收账款坏账填报与调整案例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8、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投资收益填报技巧解析</w:t>
      </w:r>
    </w:p>
    <w:p w:rsidR="003071C7" w:rsidRPr="00B365FF" w:rsidRDefault="003071C7" w:rsidP="003071C7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B365FF">
        <w:rPr>
          <w:rFonts w:ascii="仿宋" w:eastAsia="仿宋" w:hAnsi="仿宋" w:cs="黑体"/>
          <w:bCs/>
          <w:sz w:val="28"/>
          <w:szCs w:val="28"/>
        </w:rPr>
        <w:t>9</w:t>
      </w:r>
      <w:r w:rsidRPr="00B365FF">
        <w:rPr>
          <w:rFonts w:ascii="仿宋" w:eastAsia="仿宋" w:hAnsi="仿宋" w:cs="黑体" w:hint="eastAsia"/>
          <w:bCs/>
          <w:sz w:val="28"/>
          <w:szCs w:val="28"/>
        </w:rPr>
        <w:t>、以前年度弥补亏损的填报实务</w:t>
      </w:r>
    </w:p>
    <w:p w:rsidR="003071C7" w:rsidRPr="00B365FF" w:rsidRDefault="003071C7" w:rsidP="003071C7">
      <w:pPr>
        <w:jc w:val="left"/>
        <w:rPr>
          <w:rFonts w:ascii="仿宋" w:eastAsia="仿宋" w:hAnsi="仿宋"/>
          <w:sz w:val="28"/>
          <w:szCs w:val="28"/>
        </w:rPr>
      </w:pPr>
    </w:p>
    <w:p w:rsidR="004B6BB5" w:rsidRDefault="004B6BB5"/>
    <w:sectPr w:rsidR="004B6BB5" w:rsidSect="00762EF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0926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E48B3" w:rsidRDefault="003071C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48B3" w:rsidRDefault="003071C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260"/>
    <w:multiLevelType w:val="hybridMultilevel"/>
    <w:tmpl w:val="469A14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1301E5"/>
    <w:multiLevelType w:val="hybridMultilevel"/>
    <w:tmpl w:val="273EE0E8"/>
    <w:lvl w:ilvl="0" w:tplc="E51AB64C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D04CB394">
      <w:start w:val="1"/>
      <w:numFmt w:val="decimal"/>
      <w:lvlText w:val="（%2）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60266FFF"/>
    <w:multiLevelType w:val="hybridMultilevel"/>
    <w:tmpl w:val="D2E2DB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1C7"/>
    <w:rsid w:val="003071C7"/>
    <w:rsid w:val="004B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7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71C7"/>
    <w:rPr>
      <w:rFonts w:ascii="Calibri" w:eastAsia="宋体" w:hAnsi="Calibri" w:cs="宋体"/>
      <w:sz w:val="18"/>
      <w:szCs w:val="18"/>
    </w:rPr>
  </w:style>
  <w:style w:type="paragraph" w:styleId="a4">
    <w:name w:val="List Paragraph"/>
    <w:basedOn w:val="a"/>
    <w:uiPriority w:val="34"/>
    <w:qFormat/>
    <w:rsid w:val="003071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2019-03-05T07:04:00Z</dcterms:created>
  <dcterms:modified xsi:type="dcterms:W3CDTF">2019-03-05T07:05:00Z</dcterms:modified>
</cp:coreProperties>
</file>